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02712" w14:textId="77777777" w:rsidR="000E12E9" w:rsidRPr="0068385D" w:rsidRDefault="000E12E9" w:rsidP="000E12E9">
      <w:pPr>
        <w:jc w:val="both"/>
        <w:rPr>
          <w:rFonts w:ascii="Calibri" w:eastAsia="Times New Roman" w:hAnsi="Calibri" w:cs="Calibri"/>
          <w:lang w:eastAsia="pt-BR"/>
        </w:rPr>
      </w:pPr>
    </w:p>
    <w:p w14:paraId="06F7DEA5" w14:textId="707F9F99" w:rsidR="00437548" w:rsidRPr="0068385D" w:rsidRDefault="00437548" w:rsidP="00437548">
      <w:pPr>
        <w:pStyle w:val="SemEspaamento"/>
        <w:jc w:val="center"/>
        <w:rPr>
          <w:rFonts w:ascii="Calibri" w:hAnsi="Calibri" w:cs="Calibri"/>
          <w:b/>
        </w:rPr>
      </w:pPr>
      <w:r w:rsidRPr="0068385D">
        <w:rPr>
          <w:rFonts w:ascii="Calibri" w:hAnsi="Calibri" w:cs="Calibri"/>
          <w:b/>
        </w:rPr>
        <w:t>RESPOSTA ESCLARECIMENTO (</w:t>
      </w:r>
      <w:r w:rsidR="00D96CD7" w:rsidRPr="0068385D">
        <w:rPr>
          <w:rFonts w:ascii="Calibri" w:hAnsi="Calibri" w:cs="Calibri"/>
          <w:b/>
        </w:rPr>
        <w:t>4</w:t>
      </w:r>
      <w:r w:rsidRPr="0068385D">
        <w:rPr>
          <w:rFonts w:ascii="Calibri" w:hAnsi="Calibri" w:cs="Calibri"/>
          <w:b/>
        </w:rPr>
        <w:t>)</w:t>
      </w:r>
    </w:p>
    <w:p w14:paraId="6E251237" w14:textId="77777777" w:rsidR="00437548" w:rsidRPr="0068385D" w:rsidRDefault="00437548" w:rsidP="00437548">
      <w:pPr>
        <w:pStyle w:val="SemEspaamento"/>
        <w:rPr>
          <w:rFonts w:ascii="Calibri" w:hAnsi="Calibri" w:cs="Calibri"/>
          <w:b/>
        </w:rPr>
      </w:pPr>
    </w:p>
    <w:p w14:paraId="436F7483" w14:textId="70E3FB6D" w:rsidR="0068385D" w:rsidRPr="00BE0958" w:rsidRDefault="002E4064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ESCLARECIMENTO Nº 1</w:t>
      </w:r>
      <w:r w:rsidRPr="00BE0958">
        <w:rPr>
          <w:rFonts w:asciiTheme="minorHAnsi" w:hAnsiTheme="minorHAnsi" w:cstheme="minorHAnsi"/>
          <w:sz w:val="20"/>
          <w:szCs w:val="20"/>
        </w:rPr>
        <w:t>:</w:t>
      </w:r>
    </w:p>
    <w:p w14:paraId="445F677F" w14:textId="25D58F65" w:rsidR="00D96CD7" w:rsidRPr="00BE0958" w:rsidRDefault="00D96CD7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sz w:val="20"/>
          <w:szCs w:val="20"/>
        </w:rPr>
        <w:t>A "Administração Local", tanto no Acórdão 2622 / 2013 (TCU), quanto no trabalho "Orientações para Elaboração de Planilhas Orçamentárias de Obras Públicas do Tribunal de Contas" (TCU / 2014), é citada como item de custo direto da Planilha Orçamentária, por ser passível de discriminação, mensuração e comprovação, englobando itens como mobilização de equipamentos, pessoal e insumos administrativos, responsável técnico, etc. Sendo assim, como este custo não está inserido na planilha, pergunta-se: Como a contratada será remunerada por essas despesas?</w:t>
      </w:r>
    </w:p>
    <w:p w14:paraId="1B12481C" w14:textId="0EB97631" w:rsidR="00D96CD7" w:rsidRPr="00BE0958" w:rsidRDefault="00D96CD7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>:</w:t>
      </w:r>
      <w:r w:rsidR="00BE0958">
        <w:rPr>
          <w:rFonts w:asciiTheme="minorHAnsi" w:hAnsiTheme="minorHAnsi" w:cstheme="minorHAnsi"/>
          <w:sz w:val="20"/>
          <w:szCs w:val="20"/>
        </w:rPr>
        <w:t xml:space="preserve"> </w:t>
      </w: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Os custos de todas as etapas dos serviços, incluindo, carga, transporte, descarga, tratamento do material no aterro sanitário, além de maquinário, mão de obra, mobilização, insumos administrativos e respectivos licenciamentos necessários para execução dos serviços, são integrantes da proposta da licitante e devem estar considerados na proposta comercial.</w:t>
      </w:r>
    </w:p>
    <w:p w14:paraId="071F8577" w14:textId="77777777" w:rsidR="00BE0958" w:rsidRPr="00BE0958" w:rsidRDefault="00BE0958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</w:p>
    <w:p w14:paraId="168DA1E5" w14:textId="77777777" w:rsidR="00BE0958" w:rsidRPr="00BE0958" w:rsidRDefault="002E4064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pt-BR"/>
        </w:rPr>
        <w:t>ESCLARECIMENTO Nº 2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>:</w:t>
      </w:r>
    </w:p>
    <w:p w14:paraId="7D59AF4D" w14:textId="3D9EF79A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No que tange as análises de laboratório disponibilizadas, observamos que os ensaios foram feitos somente em amostras de solo. Neste caso, pergunta-se: Pode ser disponibilizada análise de laboratório referente a vegetação suprimida, que garanta a classificação deste resíduo como Classe II A, II B, ou até mesmo Classe I (perigoso)? Este esclarecimento é importante, para verificação da correta destinação final desta vegetação suprimida.</w:t>
      </w:r>
    </w:p>
    <w:p w14:paraId="2BE136CE" w14:textId="4CDA7D03" w:rsidR="006116DE" w:rsidRPr="00BE0958" w:rsidRDefault="0068385D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>:</w:t>
      </w:r>
      <w:r w:rsidR="00BE0958">
        <w:rPr>
          <w:rFonts w:asciiTheme="minorHAnsi" w:hAnsiTheme="minorHAnsi" w:cstheme="minorHAnsi"/>
          <w:sz w:val="20"/>
          <w:szCs w:val="20"/>
        </w:rPr>
        <w:t xml:space="preserve"> </w:t>
      </w:r>
      <w:r w:rsidR="00D96CD7"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Segundo a NBR 10.004/2004 os resíduos de supressão são classificados como resíduos sólidos classe II, que são aqueles considerados não perigosos, segundo os impac</w:t>
      </w: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tos e riscos que podem causar. </w:t>
      </w:r>
      <w:r w:rsidR="00D96CD7" w:rsidRPr="00BE0958">
        <w:rPr>
          <w:rFonts w:asciiTheme="minorHAnsi" w:hAnsiTheme="minorHAnsi" w:cstheme="minorHAnsi"/>
          <w:color w:val="222222"/>
          <w:sz w:val="20"/>
          <w:szCs w:val="20"/>
        </w:rPr>
        <w:t xml:space="preserve">Este resíduo de </w:t>
      </w:r>
      <w:r w:rsidRPr="00BE0958">
        <w:rPr>
          <w:rFonts w:asciiTheme="minorHAnsi" w:hAnsiTheme="minorHAnsi" w:cstheme="minorHAnsi"/>
          <w:color w:val="222222"/>
          <w:sz w:val="20"/>
          <w:szCs w:val="20"/>
        </w:rPr>
        <w:t>supressão</w:t>
      </w:r>
      <w:r w:rsidR="00D96CD7" w:rsidRPr="00BE0958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BE0958">
        <w:rPr>
          <w:rFonts w:asciiTheme="minorHAnsi" w:hAnsiTheme="minorHAnsi" w:cstheme="minorHAnsi"/>
          <w:color w:val="222222"/>
          <w:sz w:val="20"/>
          <w:szCs w:val="20"/>
        </w:rPr>
        <w:t>não</w:t>
      </w:r>
      <w:r w:rsidR="00D96CD7" w:rsidRPr="00BE0958">
        <w:rPr>
          <w:rFonts w:asciiTheme="minorHAnsi" w:hAnsiTheme="minorHAnsi" w:cstheme="minorHAnsi"/>
          <w:color w:val="222222"/>
          <w:sz w:val="20"/>
          <w:szCs w:val="20"/>
        </w:rPr>
        <w:t xml:space="preserve"> possui poder calorífico para forno.  Seria indicado para compostagem.</w:t>
      </w:r>
    </w:p>
    <w:p w14:paraId="0B764CBB" w14:textId="76134A2B" w:rsidR="00D96CD7" w:rsidRPr="00BE0958" w:rsidRDefault="00D96CD7" w:rsidP="00BE0958">
      <w:pPr>
        <w:pStyle w:val="SemEspaamento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BE0958">
        <w:rPr>
          <w:rFonts w:asciiTheme="minorHAnsi" w:hAnsiTheme="minorHAnsi" w:cstheme="minorHAnsi"/>
          <w:color w:val="222222"/>
          <w:sz w:val="20"/>
          <w:szCs w:val="20"/>
        </w:rPr>
        <w:t>A Licença de supressão emitida não solicita nenhuma análise para o descarte deste resíduo.</w:t>
      </w:r>
    </w:p>
    <w:p w14:paraId="47C9D3AE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14:paraId="00213333" w14:textId="77777777" w:rsidR="006116DE" w:rsidRPr="00BE0958" w:rsidRDefault="006116DE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14:paraId="75A3D4A2" w14:textId="365BB30E" w:rsidR="0068385D" w:rsidRPr="00BE0958" w:rsidRDefault="002E4064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pt-BR"/>
        </w:rPr>
        <w:lastRenderedPageBreak/>
        <w:t>ESCLARECIMENTO Nº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 xml:space="preserve"> 3:</w:t>
      </w:r>
    </w:p>
    <w:p w14:paraId="0CC66F91" w14:textId="2921369A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Pode ser informada a que espécie (s) pertence (m) os resíduos de vegetação suprimida, e qual sua classificação de acordo com a NBR 10004?</w:t>
      </w:r>
    </w:p>
    <w:p w14:paraId="382F14EA" w14:textId="6EAEAC4B" w:rsidR="00D96CD7" w:rsidRPr="00BE0958" w:rsidRDefault="0068385D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>:</w:t>
      </w:r>
      <w:r w:rsidR="00BE0958">
        <w:rPr>
          <w:rFonts w:asciiTheme="minorHAnsi" w:hAnsiTheme="minorHAnsi" w:cstheme="minorHAnsi"/>
          <w:sz w:val="20"/>
          <w:szCs w:val="20"/>
        </w:rPr>
        <w:t xml:space="preserve"> </w:t>
      </w:r>
      <w:r w:rsidR="00D96CD7" w:rsidRPr="00BE0958">
        <w:rPr>
          <w:rFonts w:asciiTheme="minorHAnsi" w:hAnsiTheme="minorHAnsi" w:cstheme="minorHAnsi"/>
          <w:color w:val="222222"/>
          <w:sz w:val="20"/>
          <w:szCs w:val="20"/>
        </w:rPr>
        <w:t>Conforme descrito na autorização de Supressão, as espécies suprimidas são exóticas e invasoras. Na sua maioria, </w:t>
      </w:r>
      <w:proofErr w:type="spellStart"/>
      <w:r w:rsidR="00D96CD7" w:rsidRPr="00BE0958">
        <w:rPr>
          <w:rFonts w:asciiTheme="minorHAnsi" w:hAnsiTheme="minorHAnsi" w:cstheme="minorHAnsi"/>
          <w:color w:val="222222"/>
          <w:sz w:val="20"/>
          <w:szCs w:val="20"/>
        </w:rPr>
        <w:t>Leucenas</w:t>
      </w:r>
      <w:proofErr w:type="spellEnd"/>
      <w:r w:rsidR="00D96CD7" w:rsidRPr="00BE0958">
        <w:rPr>
          <w:rFonts w:asciiTheme="minorHAnsi" w:hAnsiTheme="minorHAnsi" w:cstheme="minorHAnsi"/>
          <w:color w:val="222222"/>
          <w:sz w:val="20"/>
          <w:szCs w:val="20"/>
        </w:rPr>
        <w:t xml:space="preserve"> e Amendoeiras.</w:t>
      </w:r>
      <w:r w:rsidRPr="00BE0958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D96CD7" w:rsidRPr="00BE0958">
        <w:rPr>
          <w:rFonts w:asciiTheme="minorHAnsi" w:hAnsiTheme="minorHAnsi" w:cstheme="minorHAnsi"/>
          <w:color w:val="222222"/>
          <w:sz w:val="20"/>
          <w:szCs w:val="20"/>
        </w:rPr>
        <w:t>São classificadas como Classe IIA - Conforme NBR 10004:2004</w:t>
      </w:r>
    </w:p>
    <w:p w14:paraId="5C6F4E5A" w14:textId="77777777" w:rsidR="002E4064" w:rsidRPr="00BE0958" w:rsidRDefault="002E4064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</w:p>
    <w:p w14:paraId="351DB899" w14:textId="77777777" w:rsidR="002E4064" w:rsidRPr="00BE0958" w:rsidRDefault="002E4064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</w:p>
    <w:p w14:paraId="6409EF28" w14:textId="1207B4EF" w:rsidR="00D96CD7" w:rsidRPr="00BE0958" w:rsidRDefault="002E4064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pt-BR"/>
        </w:rPr>
        <w:t xml:space="preserve">ESCLARECIMENTO Nº 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>4:</w:t>
      </w:r>
    </w:p>
    <w:p w14:paraId="6C28BF26" w14:textId="359B8F9C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Entendemos que a medição dos serviços executados, será pelo volume retirado, multiplicado pela densidade indicada no orçamento estimado, resultando em tonelada, multiplicada pelo preço unitário? Está correto nosso entendimento? Este esclarecimento é importante, tanto para evitar insegurança aos licitantes, como evitar divergências, quando da execução do serviço.</w:t>
      </w:r>
    </w:p>
    <w:p w14:paraId="1F84FB52" w14:textId="77777777" w:rsidR="0068385D" w:rsidRPr="00BE0958" w:rsidRDefault="0068385D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>:</w:t>
      </w:r>
    </w:p>
    <w:p w14:paraId="723A0B0A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 medição dos serviços executados será realizada de acordo com o peso do material, conforme item 11 Requisitos para apresentação de produtos do Termo de Referência:</w:t>
      </w:r>
    </w:p>
    <w:p w14:paraId="37C670C0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11.     Requisitos para apresentação de produtos</w:t>
      </w:r>
    </w:p>
    <w:p w14:paraId="52E041CD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11.1.   Após a execução dos serviços, a contratada deverá apresentar:</w:t>
      </w:r>
    </w:p>
    <w:p w14:paraId="00493D54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11.1.1.     Relatório fotográfico dos serviços executados;</w:t>
      </w:r>
    </w:p>
    <w:p w14:paraId="14C2698E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11.1.2.     Documento comprobatório da baixa do MTR no Sistema MTR pelo destinador.</w:t>
      </w:r>
    </w:p>
    <w:p w14:paraId="01581C3F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11.1.3.     Tratamento adequado, caso necessário, ao rejeito disposto.</w:t>
      </w:r>
    </w:p>
    <w:p w14:paraId="2C404C73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11.2Após a pesagem, deverá ser descontada a tara do veículo, e imediatamente emitido o ticket de controle com o peso líquido dos resíduos, o qual será considerado para efeito de remuneração dos serviços.</w:t>
      </w:r>
    </w:p>
    <w:p w14:paraId="39C1A037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10.3A empresa deverá entregar mensalmente, junto à nota fiscal de prestação de serviços, a planilha detalhada dos registros de recebimento de resíduos e os comprovantes de pesagem (tíquetes).</w:t>
      </w:r>
    </w:p>
    <w:p w14:paraId="29B345F0" w14:textId="77777777" w:rsidR="004B29B3" w:rsidRPr="00BE0958" w:rsidRDefault="004B29B3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</w:p>
    <w:p w14:paraId="5D8ED5A9" w14:textId="77777777" w:rsidR="004B29B3" w:rsidRPr="00BE0958" w:rsidRDefault="004B29B3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</w:p>
    <w:p w14:paraId="5B59D3E6" w14:textId="534C2320" w:rsidR="0068385D" w:rsidRPr="00BE0958" w:rsidRDefault="002E4064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pt-BR"/>
        </w:rPr>
        <w:t xml:space="preserve">ESCLARECIMENTO Nº 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>5:</w:t>
      </w:r>
    </w:p>
    <w:p w14:paraId="7C9E4456" w14:textId="20230369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Como a Planilha Orçamentária não remunera canteiro, entendemos que a Contratante disponibilizará a Contratada, um local adequado para guarda de veículos e canteiro para os </w:t>
      </w: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lastRenderedPageBreak/>
        <w:t>funcionários. Está correto nosso entendimento? Caso positivo, qual a localização desta base de apoio? Caso negativo, como a contratada será remunerada por esta despesa? Este esclarecimento é importante, pois se trata de item que impacta no custo operacional.</w:t>
      </w:r>
    </w:p>
    <w:p w14:paraId="5EB08250" w14:textId="2E30095E" w:rsidR="00D96CD7" w:rsidRPr="00BE0958" w:rsidRDefault="0068385D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>:</w:t>
      </w:r>
      <w:r w:rsidR="00BE0958">
        <w:rPr>
          <w:rFonts w:asciiTheme="minorHAnsi" w:hAnsiTheme="minorHAnsi" w:cstheme="minorHAnsi"/>
          <w:sz w:val="20"/>
          <w:szCs w:val="20"/>
        </w:rPr>
        <w:t xml:space="preserve"> </w:t>
      </w:r>
      <w:r w:rsidR="00D96CD7"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Os custos de todas as etapas dos serviços, incluindo, carga, transporte, descarga, tratamento do material no aterro sanitário, além de maquinário, mão de obra, mobilização, insumos administrativos e respectivos licenciamentos necessários para execução dos serviços, são integrantes da proposta da licitante e devem estar considerados na proposta comercial.</w:t>
      </w:r>
    </w:p>
    <w:p w14:paraId="348426A2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 Contratante não irá disponibilizar local para guarda de veículos e canteiro para funcionários.</w:t>
      </w:r>
    </w:p>
    <w:p w14:paraId="7AB9EF68" w14:textId="77777777" w:rsidR="004B29B3" w:rsidRPr="00BE0958" w:rsidRDefault="004B29B3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</w:p>
    <w:p w14:paraId="1D1D518A" w14:textId="4BDA2DEA" w:rsidR="00D96CD7" w:rsidRPr="00BE0958" w:rsidRDefault="002E4064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pt-BR"/>
        </w:rPr>
        <w:t>ESCLARECIMENTO Nº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 xml:space="preserve"> 6:</w:t>
      </w:r>
    </w:p>
    <w:p w14:paraId="08CDE2EB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t-BR"/>
        </w:rPr>
        <w:t>            No item 5.3 - Escopo, o Termo de Referência informa que:</w:t>
      </w:r>
    </w:p>
    <w:p w14:paraId="5D87054C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t-BR"/>
        </w:rPr>
        <w:t>"5.3.1 - Os resíduos estarão previamente estocados em locais de decantação para a diminuição da umidade do mesmo. A remoção dos resíduos deverá ser efetuada mediante requisição apresentada pela contratante a contratada, que deverá atender à solicitação no prazo máximo de 24 (vinte e quatro) horas."</w:t>
      </w:r>
    </w:p>
    <w:p w14:paraId="63F90B98" w14:textId="267C19CC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pt-BR"/>
        </w:rPr>
        <w:t> "5.3.3 - Preferencialmente, a descarga dos caminhões deverá ser efetuada diretamente, por gravidade, nos semirreboques de transporte. Não existindo esta condição, o carregamento será realizado com o auxílio de máquina apropriada (escavadeira hidráulica ou similar)."</w:t>
      </w:r>
    </w:p>
    <w:p w14:paraId="55E79F12" w14:textId="0C204E0A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 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>Neste caso, pergunta-se:</w:t>
      </w:r>
    </w:p>
    <w:p w14:paraId="31CE5F57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- Quem será responsável pela descarga por gravidade, ou carga através de escavadeira ou máquina similar, dos resíduos de escavação e supressão de vegetação, nos caminhões da contratada? Este esclarecimento é importante, tanto para evitar insegurança aos licitantes, como evitar divergências, quando da execução do serviço.</w:t>
      </w:r>
    </w:p>
    <w:p w14:paraId="552C525D" w14:textId="616EF253" w:rsidR="00D96CD7" w:rsidRPr="00BE0958" w:rsidRDefault="00CC21A1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>:</w:t>
      </w:r>
      <w:r w:rsidR="00BE0958">
        <w:rPr>
          <w:rFonts w:asciiTheme="minorHAnsi" w:hAnsiTheme="minorHAnsi" w:cstheme="minorHAnsi"/>
          <w:sz w:val="20"/>
          <w:szCs w:val="20"/>
        </w:rPr>
        <w:t xml:space="preserve"> </w:t>
      </w:r>
      <w:r w:rsidR="00D96CD7"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Os custos de todas as etapas dos serviços, incluindo, carga, transporte, descarga, tratamento do material no aterro sanitário, além de maquinário, mão de obra, mobilização, insumos administrativos e respectivos licenciamentos necessários para execução dos serviços, são integrantes da proposta da licitante e devem estar considerados na proposta comercial.</w:t>
      </w:r>
    </w:p>
    <w:p w14:paraId="206097BF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 carga e descarga do material através de máquina apropriada será de responsabilidade da contratada.</w:t>
      </w:r>
    </w:p>
    <w:p w14:paraId="7425508E" w14:textId="77777777" w:rsidR="00BE0958" w:rsidRDefault="00BE0958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14:paraId="7A81D255" w14:textId="77777777" w:rsidR="00BE0958" w:rsidRDefault="00BE0958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14:paraId="58083FD5" w14:textId="569057B6" w:rsidR="004B29B3" w:rsidRPr="00BE0958" w:rsidRDefault="004B29B3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 xml:space="preserve">ESCLARECIMENTO Nº </w:t>
      </w:r>
      <w:r w:rsidRPr="00BE0958">
        <w:rPr>
          <w:rFonts w:asciiTheme="minorHAnsi" w:hAnsiTheme="minorHAnsi" w:cstheme="minorHAnsi"/>
          <w:sz w:val="20"/>
          <w:szCs w:val="20"/>
        </w:rPr>
        <w:t>7:</w:t>
      </w:r>
    </w:p>
    <w:p w14:paraId="4DAA58E0" w14:textId="4F85BDCC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Qual o número do CNPJ da contratante, referente a esta contratação?</w:t>
      </w:r>
    </w:p>
    <w:p w14:paraId="1B20799F" w14:textId="1829D2C7" w:rsidR="00D96CD7" w:rsidRPr="00BE0958" w:rsidRDefault="00CC21A1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 xml:space="preserve">: </w:t>
      </w:r>
      <w:r w:rsidR="00BE0958">
        <w:rPr>
          <w:rFonts w:asciiTheme="minorHAnsi" w:hAnsiTheme="minorHAnsi" w:cstheme="minorHAnsi"/>
          <w:sz w:val="20"/>
          <w:szCs w:val="20"/>
        </w:rPr>
        <w:t xml:space="preserve"> </w:t>
      </w:r>
      <w:r w:rsidR="00D96CD7" w:rsidRPr="00BE0958">
        <w:rPr>
          <w:rFonts w:asciiTheme="minorHAnsi" w:eastAsia="Times New Roman" w:hAnsiTheme="minorHAnsi" w:cstheme="minorHAnsi"/>
          <w:sz w:val="20"/>
          <w:szCs w:val="20"/>
          <w:lang w:eastAsia="pt-BR"/>
        </w:rPr>
        <w:t>O CNPJ da contratante é 28.521.748/0001-59.</w:t>
      </w:r>
    </w:p>
    <w:p w14:paraId="52C70CE1" w14:textId="77777777" w:rsid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 </w:t>
      </w:r>
    </w:p>
    <w:p w14:paraId="205E0B12" w14:textId="1787E0C8" w:rsidR="00CC21A1" w:rsidRPr="00BE0958" w:rsidRDefault="004B29B3" w:rsidP="00BE0958">
      <w:pPr>
        <w:pStyle w:val="SemEspaamento"/>
        <w:jc w:val="both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pt-BR"/>
        </w:rPr>
        <w:t xml:space="preserve">ESCLARECIMENTO Nº 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>8:</w:t>
      </w:r>
    </w:p>
    <w:p w14:paraId="5FC8D04D" w14:textId="52DB6D2E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Considerando a necessidade de apresentação da Licença de Operação do Aterro Sanitário, que poderá ser subcontratado, entendemos que a licitante deverá apresentar também a Licença de Operação, de sua titularidade, para coleta e transporte de resíduos sólidos, já que é vedada a subcontratação total do serviço, conforme </w:t>
      </w:r>
      <w:r w:rsidRPr="00BE0958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pt-BR"/>
        </w:rPr>
        <w:t>item 10</w:t>
      </w: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 do Termo de Referência. Está correto nosso entendimento?  Este esclarecimento é importante, pela relevância do objeto que possui impacto ambiental, podendo ser executado tão somente por empresas licenciadas.</w:t>
      </w:r>
    </w:p>
    <w:p w14:paraId="390937D2" w14:textId="46F86E0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 Essas informações são importantes, haja visto que influenciam de sobremaneira, na formulação de proposta mais vantajosa para a Administração.</w:t>
      </w:r>
    </w:p>
    <w:p w14:paraId="31AF40B1" w14:textId="2E8C2A4B" w:rsidR="00D96CD7" w:rsidRPr="00BE0958" w:rsidRDefault="00CC21A1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BE0958">
        <w:rPr>
          <w:rFonts w:asciiTheme="minorHAnsi" w:hAnsiTheme="minorHAnsi" w:cstheme="minorHAnsi"/>
          <w:b/>
          <w:sz w:val="20"/>
          <w:szCs w:val="20"/>
        </w:rPr>
        <w:t>RESPOSTA</w:t>
      </w:r>
      <w:r w:rsidRPr="00BE0958">
        <w:rPr>
          <w:rFonts w:asciiTheme="minorHAnsi" w:hAnsiTheme="minorHAnsi" w:cstheme="minorHAnsi"/>
          <w:sz w:val="20"/>
          <w:szCs w:val="20"/>
        </w:rPr>
        <w:t xml:space="preserve">: </w:t>
      </w:r>
      <w:bookmarkStart w:id="0" w:name="_GoBack"/>
      <w:bookmarkEnd w:id="0"/>
      <w:r w:rsidR="00D96CD7" w:rsidRPr="00BE0958">
        <w:rPr>
          <w:rFonts w:asciiTheme="minorHAnsi" w:eastAsia="Times New Roman" w:hAnsiTheme="minorHAnsi" w:cstheme="minorHAnsi"/>
          <w:sz w:val="20"/>
          <w:szCs w:val="20"/>
          <w:lang w:eastAsia="pt-BR"/>
        </w:rPr>
        <w:t>Para fins de habilitação técnica no certame, a licitante deverá apresentar os documentos especificados no item 12.1.4 Qualificação Técnica do Edital, bem como no item 13</w:t>
      </w:r>
      <w:r w:rsidR="004B29B3" w:rsidRPr="00BE0958">
        <w:rPr>
          <w:rFonts w:asciiTheme="minorHAnsi" w:eastAsia="Times New Roman" w:hAnsiTheme="minorHAnsi" w:cstheme="minorHAnsi"/>
          <w:sz w:val="20"/>
          <w:szCs w:val="20"/>
          <w:lang w:eastAsia="pt-BR"/>
        </w:rPr>
        <w:t>,</w:t>
      </w:r>
      <w:r w:rsidR="00D96CD7" w:rsidRPr="00BE0958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Qualificação Técnica do Termo de Referência. </w:t>
      </w:r>
    </w:p>
    <w:p w14:paraId="2B519221" w14:textId="77777777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</w:p>
    <w:p w14:paraId="735FCEEE" w14:textId="5C269393" w:rsidR="00D96CD7" w:rsidRPr="00BE0958" w:rsidRDefault="00D96CD7" w:rsidP="00BE0958">
      <w:pPr>
        <w:pStyle w:val="SemEspaamento"/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BE0958">
        <w:rPr>
          <w:rFonts w:asciiTheme="minorHAnsi" w:eastAsia="Times New Roman" w:hAnsiTheme="minorHAnsi" w:cstheme="minorHAnsi"/>
          <w:sz w:val="20"/>
          <w:szCs w:val="20"/>
          <w:lang w:eastAsia="pt-BR"/>
        </w:rPr>
        <w:t>Para a realização dos serviços, a licitante contratada deverá atender a todas as obrigações decorrentes do cumprimento de normas legais e regulamentares, conforme item 8</w:t>
      </w:r>
      <w:r w:rsidR="004B29B3" w:rsidRPr="00BE0958">
        <w:rPr>
          <w:rFonts w:asciiTheme="minorHAnsi" w:eastAsia="Times New Roman" w:hAnsiTheme="minorHAnsi" w:cstheme="minorHAnsi"/>
          <w:sz w:val="20"/>
          <w:szCs w:val="20"/>
          <w:lang w:eastAsia="pt-BR"/>
        </w:rPr>
        <w:t>,</w:t>
      </w:r>
      <w:r w:rsidRPr="00BE0958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Obrigações da Contratada do Termo de Referência.</w:t>
      </w:r>
    </w:p>
    <w:p w14:paraId="6DDFF4F7" w14:textId="77777777" w:rsidR="00437548" w:rsidRPr="00BE0958" w:rsidRDefault="00437548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14:paraId="36AC1E81" w14:textId="77777777" w:rsidR="00437548" w:rsidRPr="00BE0958" w:rsidRDefault="00437548" w:rsidP="00BE095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14:paraId="041AFA7B" w14:textId="77777777" w:rsidR="00C0402A" w:rsidRPr="00BE0958" w:rsidRDefault="00C0402A" w:rsidP="00BE0958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14:paraId="1A07FC54" w14:textId="77777777" w:rsidR="00C71EF1" w:rsidRPr="00BE0958" w:rsidRDefault="00C71EF1" w:rsidP="00BE0958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BE095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14:paraId="3F67EC78" w14:textId="77777777" w:rsidR="00C71EF1" w:rsidRPr="00BE0958" w:rsidRDefault="00C71EF1" w:rsidP="00BE0958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14:paraId="10E79C27" w14:textId="77777777" w:rsidR="00FD69F3" w:rsidRPr="00BE0958" w:rsidRDefault="00FD69F3" w:rsidP="00BE0958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BE095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BE095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CB0A11" w:rsidRPr="00BE095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Obras e Infraestrutura</w:t>
      </w:r>
    </w:p>
    <w:p w14:paraId="205E2E81" w14:textId="77777777" w:rsidR="00CB0A11" w:rsidRPr="00BE0958" w:rsidRDefault="00CB0A11" w:rsidP="00BE0958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BE0958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UGP/CAF</w:t>
      </w:r>
    </w:p>
    <w:sectPr w:rsidR="00CB0A11" w:rsidRPr="00BE0958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1A31" w14:textId="77777777" w:rsidR="00715413" w:rsidRDefault="00715413">
      <w:r>
        <w:separator/>
      </w:r>
    </w:p>
  </w:endnote>
  <w:endnote w:type="continuationSeparator" w:id="0">
    <w:p w14:paraId="0FC7856F" w14:textId="77777777" w:rsidR="00715413" w:rsidRDefault="0071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33D2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014B8C7C" wp14:editId="4A591623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6B3132F" wp14:editId="2EF3C88B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4021F274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48E32" w14:textId="77777777" w:rsidR="00715413" w:rsidRDefault="00715413">
      <w:r>
        <w:separator/>
      </w:r>
    </w:p>
  </w:footnote>
  <w:footnote w:type="continuationSeparator" w:id="0">
    <w:p w14:paraId="138CE215" w14:textId="77777777" w:rsidR="00715413" w:rsidRDefault="0071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8C0E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B38FAB" wp14:editId="2A9B84A4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E657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62EE5D5D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2B3C422C" wp14:editId="41C36D79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096BE" w14:textId="77777777"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14:paraId="7923EEAE" w14:textId="77777777" w:rsidR="00CB0A11" w:rsidRPr="00E3000B" w:rsidRDefault="00CB0A11" w:rsidP="00E3000B">
    <w:pPr>
      <w:pStyle w:val="Cabealho"/>
      <w:jc w:val="center"/>
    </w:pPr>
    <w:r>
      <w:rPr>
        <w:rFonts w:asciiTheme="minorHAnsi" w:hAnsiTheme="minorHAnsi" w:cstheme="minorHAnsi"/>
        <w:b/>
      </w:rPr>
      <w:t>UGP/CAF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91A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2339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06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16A0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37548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29B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09D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16DE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385D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413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0958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1FE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1A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6CD7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0CC8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A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F4D1-6B04-43E7-80AE-AB19282C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2021-04-05T15:20:00Z</dcterms:created>
  <dcterms:modified xsi:type="dcterms:W3CDTF">2021-04-05T15:24:00Z</dcterms:modified>
</cp:coreProperties>
</file>